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90F" w:rsidRPr="0052490F" w:rsidRDefault="0052490F" w:rsidP="0052490F">
      <w:pPr>
        <w:pStyle w:val="NormalWeb"/>
        <w:shd w:val="clear" w:color="auto" w:fill="F8FCFF"/>
        <w:jc w:val="center"/>
        <w:rPr>
          <w:sz w:val="36"/>
          <w:szCs w:val="36"/>
          <w:lang/>
        </w:rPr>
      </w:pPr>
      <w:r w:rsidRPr="0052490F">
        <w:rPr>
          <w:sz w:val="36"/>
          <w:szCs w:val="36"/>
          <w:lang/>
        </w:rPr>
        <w:t xml:space="preserve">The </w:t>
      </w:r>
      <w:r w:rsidRPr="0052490F">
        <w:rPr>
          <w:b/>
          <w:bCs/>
          <w:sz w:val="36"/>
          <w:szCs w:val="36"/>
          <w:lang/>
        </w:rPr>
        <w:t>Glorious Revolution</w:t>
      </w:r>
      <w:r w:rsidRPr="0052490F">
        <w:rPr>
          <w:sz w:val="36"/>
          <w:szCs w:val="36"/>
          <w:lang/>
        </w:rPr>
        <w:t xml:space="preserve">, or </w:t>
      </w:r>
      <w:r w:rsidRPr="0052490F">
        <w:rPr>
          <w:b/>
          <w:bCs/>
          <w:sz w:val="36"/>
          <w:szCs w:val="36"/>
          <w:lang/>
        </w:rPr>
        <w:t>Revolution of 1688</w:t>
      </w:r>
      <w:r w:rsidRPr="0052490F">
        <w:rPr>
          <w:sz w:val="36"/>
          <w:szCs w:val="36"/>
          <w:lang/>
        </w:rPr>
        <w:t>,</w:t>
      </w:r>
    </w:p>
    <w:p w:rsidR="0052490F" w:rsidRPr="0052490F" w:rsidRDefault="0052490F" w:rsidP="0052490F">
      <w:pPr>
        <w:pStyle w:val="NormalWeb"/>
        <w:shd w:val="clear" w:color="auto" w:fill="F8FCFF"/>
        <w:rPr>
          <w:lang/>
        </w:rPr>
      </w:pPr>
      <w:r w:rsidRPr="0052490F">
        <w:rPr>
          <w:lang/>
        </w:rPr>
        <w:t xml:space="preserve">..was the overthrow of </w:t>
      </w:r>
      <w:hyperlink r:id="rId5" w:tooltip="British monarchy" w:history="1">
        <w:r w:rsidRPr="0052490F">
          <w:rPr>
            <w:rStyle w:val="Hyperlink"/>
            <w:color w:val="auto"/>
            <w:u w:val="none"/>
            <w:lang/>
          </w:rPr>
          <w:t>King</w:t>
        </w:r>
      </w:hyperlink>
      <w:r w:rsidRPr="0052490F">
        <w:rPr>
          <w:lang/>
        </w:rPr>
        <w:t xml:space="preserve"> </w:t>
      </w:r>
      <w:hyperlink r:id="rId6" w:tooltip="James II of England" w:history="1">
        <w:r w:rsidRPr="0052490F">
          <w:rPr>
            <w:rStyle w:val="Hyperlink"/>
            <w:color w:val="auto"/>
            <w:u w:val="none"/>
            <w:lang/>
          </w:rPr>
          <w:t>James II of England</w:t>
        </w:r>
      </w:hyperlink>
      <w:r w:rsidRPr="0052490F">
        <w:rPr>
          <w:lang/>
        </w:rPr>
        <w:t xml:space="preserve"> (VII of Scotland and II of Ireland) in </w:t>
      </w:r>
      <w:hyperlink r:id="rId7" w:tooltip="1688" w:history="1">
        <w:r w:rsidRPr="0052490F">
          <w:rPr>
            <w:rStyle w:val="Hyperlink"/>
            <w:color w:val="auto"/>
            <w:u w:val="none"/>
            <w:lang/>
          </w:rPr>
          <w:t>1688</w:t>
        </w:r>
      </w:hyperlink>
      <w:r w:rsidRPr="0052490F">
        <w:rPr>
          <w:lang/>
        </w:rPr>
        <w:t xml:space="preserve"> by a union of </w:t>
      </w:r>
      <w:hyperlink r:id="rId8" w:tooltip="Parliament of England" w:history="1">
        <w:r w:rsidRPr="0052490F">
          <w:rPr>
            <w:rStyle w:val="Hyperlink"/>
            <w:color w:val="auto"/>
            <w:u w:val="none"/>
            <w:lang/>
          </w:rPr>
          <w:t>Parliamentarians</w:t>
        </w:r>
      </w:hyperlink>
      <w:r w:rsidRPr="0052490F">
        <w:rPr>
          <w:lang/>
        </w:rPr>
        <w:t xml:space="preserve"> with an invading army led by the </w:t>
      </w:r>
      <w:hyperlink r:id="rId9" w:tooltip="Dutch Republic" w:history="1">
        <w:r w:rsidRPr="0052490F">
          <w:rPr>
            <w:rStyle w:val="Hyperlink"/>
            <w:color w:val="auto"/>
            <w:u w:val="none"/>
            <w:lang/>
          </w:rPr>
          <w:t>Dutch</w:t>
        </w:r>
      </w:hyperlink>
      <w:r w:rsidRPr="0052490F">
        <w:rPr>
          <w:lang/>
        </w:rPr>
        <w:t xml:space="preserve"> </w:t>
      </w:r>
      <w:hyperlink r:id="rId10" w:tooltip="Stadtholder" w:history="1">
        <w:proofErr w:type="spellStart"/>
        <w:r w:rsidRPr="0052490F">
          <w:rPr>
            <w:rStyle w:val="Hyperlink"/>
            <w:color w:val="auto"/>
            <w:u w:val="none"/>
            <w:lang/>
          </w:rPr>
          <w:t>stadtholder</w:t>
        </w:r>
        <w:proofErr w:type="spellEnd"/>
      </w:hyperlink>
      <w:r w:rsidRPr="0052490F">
        <w:rPr>
          <w:lang/>
        </w:rPr>
        <w:t xml:space="preserve"> William III of </w:t>
      </w:r>
      <w:hyperlink r:id="rId11" w:tooltip="House of Orange-Nassau" w:history="1">
        <w:r w:rsidRPr="0052490F">
          <w:rPr>
            <w:rStyle w:val="Hyperlink"/>
            <w:color w:val="auto"/>
            <w:u w:val="none"/>
            <w:lang/>
          </w:rPr>
          <w:t>Orange-Nassau</w:t>
        </w:r>
      </w:hyperlink>
      <w:r w:rsidRPr="0052490F">
        <w:rPr>
          <w:lang/>
        </w:rPr>
        <w:t xml:space="preserve"> (William of Orange) who as a result ascended the English throne as </w:t>
      </w:r>
      <w:hyperlink r:id="rId12" w:tooltip="William III of England" w:history="1">
        <w:r w:rsidRPr="0052490F">
          <w:rPr>
            <w:rStyle w:val="Hyperlink"/>
            <w:color w:val="auto"/>
            <w:u w:val="none"/>
            <w:lang/>
          </w:rPr>
          <w:t>William III of England</w:t>
        </w:r>
      </w:hyperlink>
      <w:r w:rsidRPr="0052490F">
        <w:rPr>
          <w:lang/>
        </w:rPr>
        <w:t xml:space="preserve">. The expression "Glorious Revolution" was first used by </w:t>
      </w:r>
      <w:hyperlink r:id="rId13" w:tooltip="John Hampden (1653-1696)" w:history="1">
        <w:r w:rsidRPr="0052490F">
          <w:rPr>
            <w:rStyle w:val="Hyperlink"/>
            <w:color w:val="auto"/>
            <w:u w:val="none"/>
            <w:lang/>
          </w:rPr>
          <w:t>John Hampden</w:t>
        </w:r>
      </w:hyperlink>
      <w:r w:rsidRPr="0052490F">
        <w:rPr>
          <w:lang/>
        </w:rPr>
        <w:t xml:space="preserve"> in late 1689,</w:t>
      </w:r>
      <w:hyperlink r:id="rId14" w:anchor="cite_note-0" w:history="1">
        <w:r w:rsidRPr="0052490F">
          <w:rPr>
            <w:vertAlign w:val="superscript"/>
            <w:lang/>
          </w:rPr>
          <w:t>[1]</w:t>
        </w:r>
      </w:hyperlink>
      <w:r w:rsidRPr="0052490F">
        <w:rPr>
          <w:lang/>
        </w:rPr>
        <w:t xml:space="preserve"> and is an expression that is still used by the </w:t>
      </w:r>
      <w:hyperlink r:id="rId15" w:tooltip="Westminster Parliament" w:history="1">
        <w:r w:rsidRPr="0052490F">
          <w:rPr>
            <w:rStyle w:val="Hyperlink"/>
            <w:color w:val="auto"/>
            <w:u w:val="none"/>
            <w:lang/>
          </w:rPr>
          <w:t>Westminster Parliament</w:t>
        </w:r>
      </w:hyperlink>
      <w:r w:rsidRPr="0052490F">
        <w:rPr>
          <w:lang/>
        </w:rPr>
        <w:t>.</w:t>
      </w:r>
      <w:r w:rsidR="00EC0036" w:rsidRPr="0052490F">
        <w:rPr>
          <w:lang/>
        </w:rPr>
        <w:t xml:space="preserve"> </w:t>
      </w:r>
    </w:p>
    <w:p w:rsidR="0052490F" w:rsidRPr="0052490F" w:rsidRDefault="0052490F" w:rsidP="0052490F">
      <w:pPr>
        <w:shd w:val="clear" w:color="auto" w:fill="F8FCFF"/>
        <w:spacing w:before="100" w:beforeAutospacing="1" w:after="100" w:afterAutospacing="1"/>
        <w:outlineLvl w:val="1"/>
        <w:rPr>
          <w:bCs/>
          <w:lang/>
        </w:rPr>
      </w:pPr>
      <w:r w:rsidRPr="0052490F">
        <w:rPr>
          <w:bCs/>
          <w:lang/>
        </w:rPr>
        <w:t>During his three-year reign, King James II became directly involved in the political battles in England between Catholicism and Protestantism on the one hand, and on the other, between the Divine Right of Kings and the political rights of Parliament. James's greatest political problem was his Catholicism, which left him alienated from both</w:t>
      </w:r>
      <w:r w:rsidR="00302397">
        <w:rPr>
          <w:bCs/>
          <w:lang/>
        </w:rPr>
        <w:t xml:space="preserve"> parties in Parliament. The </w:t>
      </w:r>
      <w:proofErr w:type="gramStart"/>
      <w:r w:rsidR="00302397">
        <w:rPr>
          <w:bCs/>
          <w:lang/>
        </w:rPr>
        <w:t xml:space="preserve">low </w:t>
      </w:r>
      <w:r w:rsidRPr="0052490F">
        <w:rPr>
          <w:bCs/>
          <w:lang/>
        </w:rPr>
        <w:t>church</w:t>
      </w:r>
      <w:proofErr w:type="gramEnd"/>
      <w:r w:rsidRPr="0052490F">
        <w:rPr>
          <w:bCs/>
          <w:lang/>
        </w:rPr>
        <w:t xml:space="preserve"> Whigs had failed in their attempt to pass the Exclusion Bill to exclude James from the throne between 1679 and 1681, and James's supporters were the High Church Anglican Tories.</w:t>
      </w:r>
    </w:p>
    <w:p w:rsidR="0052490F" w:rsidRPr="0052490F" w:rsidRDefault="0052490F" w:rsidP="0052490F">
      <w:pPr>
        <w:shd w:val="clear" w:color="auto" w:fill="F8FCFF"/>
        <w:spacing w:before="100" w:beforeAutospacing="1" w:after="100" w:afterAutospacing="1"/>
        <w:outlineLvl w:val="1"/>
        <w:rPr>
          <w:bCs/>
          <w:lang/>
        </w:rPr>
      </w:pPr>
      <w:r w:rsidRPr="0052490F">
        <w:rPr>
          <w:bCs/>
          <w:lang/>
        </w:rPr>
        <w:t>When James inherited the throne in 1685, he had much support in the 'Loyal Parliament', which was composed mostly of Tories. His Catholicism was a concern to many, but that he had no son, and his daughters were Protestants, was a "saving grace". James's attempt to relax the penal laws alienated his natural supporters, however, because the Tories viewed this as tantamount to disestablishment of the Church of England. Abandoning the Tories, James looked to form a 'King's party' as a counterweight to the Anglican Tories, so in 1687 James supported the policy of religious toleration and issued the Declaration of Indulgence. By allying himself with the Catholics, Dissenters, and nonconformists, James hoped to build a coalition that would advance Catholic emancipation.</w:t>
      </w:r>
    </w:p>
    <w:p w:rsidR="0052490F" w:rsidRDefault="0052490F" w:rsidP="0052490F">
      <w:pPr>
        <w:shd w:val="clear" w:color="auto" w:fill="F8FCFF"/>
        <w:spacing w:before="100" w:beforeAutospacing="1" w:after="100" w:afterAutospacing="1"/>
        <w:jc w:val="center"/>
        <w:outlineLvl w:val="1"/>
        <w:rPr>
          <w:b/>
          <w:bCs/>
          <w:sz w:val="36"/>
          <w:szCs w:val="36"/>
          <w:lang/>
        </w:rPr>
      </w:pPr>
    </w:p>
    <w:p w:rsidR="0052490F" w:rsidRDefault="0052490F" w:rsidP="0052490F">
      <w:pPr>
        <w:shd w:val="clear" w:color="auto" w:fill="F8FCFF"/>
        <w:spacing w:before="100" w:beforeAutospacing="1" w:after="100" w:afterAutospacing="1"/>
        <w:jc w:val="center"/>
        <w:outlineLvl w:val="1"/>
        <w:rPr>
          <w:b/>
          <w:bCs/>
          <w:sz w:val="36"/>
          <w:szCs w:val="36"/>
          <w:lang/>
        </w:rPr>
      </w:pPr>
      <w:r>
        <w:rPr>
          <w:b/>
          <w:bCs/>
          <w:sz w:val="36"/>
          <w:szCs w:val="36"/>
          <w:lang/>
        </w:rPr>
        <w:t>The English Bill of Rights</w:t>
      </w:r>
    </w:p>
    <w:p w:rsidR="0052490F" w:rsidRPr="0052490F" w:rsidRDefault="0052490F" w:rsidP="0052490F">
      <w:pPr>
        <w:shd w:val="clear" w:color="auto" w:fill="F8FCFF"/>
        <w:spacing w:before="100" w:beforeAutospacing="1" w:after="100" w:afterAutospacing="1"/>
        <w:outlineLvl w:val="1"/>
        <w:rPr>
          <w:b/>
          <w:bCs/>
          <w:sz w:val="36"/>
          <w:szCs w:val="36"/>
          <w:lang/>
        </w:rPr>
      </w:pPr>
      <w:r w:rsidRPr="0052490F">
        <w:rPr>
          <w:b/>
          <w:bCs/>
          <w:sz w:val="36"/>
          <w:szCs w:val="36"/>
          <w:lang/>
        </w:rPr>
        <w:t xml:space="preserve"> Provisions of the act</w:t>
      </w:r>
      <w:r>
        <w:rPr>
          <w:b/>
          <w:bCs/>
          <w:sz w:val="36"/>
          <w:szCs w:val="36"/>
          <w:lang/>
        </w:rPr>
        <w:t xml:space="preserve">:  </w:t>
      </w:r>
    </w:p>
    <w:p w:rsidR="0052490F" w:rsidRPr="0052490F" w:rsidRDefault="0052490F" w:rsidP="0052490F">
      <w:pPr>
        <w:shd w:val="clear" w:color="auto" w:fill="F8FCFF"/>
        <w:spacing w:before="100" w:beforeAutospacing="1" w:after="100" w:afterAutospacing="1"/>
        <w:rPr>
          <w:lang/>
        </w:rPr>
      </w:pPr>
      <w:r w:rsidRPr="0052490F">
        <w:rPr>
          <w:lang/>
        </w:rPr>
        <w:t xml:space="preserve">The Bill of Rights and it sent out certain basic </w:t>
      </w:r>
      <w:hyperlink r:id="rId16" w:tooltip="wikt:Tenet" w:history="1">
        <w:r w:rsidRPr="0052490F">
          <w:rPr>
            <w:lang/>
          </w:rPr>
          <w:t>tenets</w:t>
        </w:r>
      </w:hyperlink>
      <w:r w:rsidRPr="0052490F">
        <w:rPr>
          <w:lang/>
        </w:rPr>
        <w:t xml:space="preserve"> for, at the time, all </w:t>
      </w:r>
      <w:hyperlink r:id="rId17" w:tooltip="England" w:history="1">
        <w:r w:rsidRPr="0052490F">
          <w:rPr>
            <w:lang/>
          </w:rPr>
          <w:t>Englishmen</w:t>
        </w:r>
      </w:hyperlink>
      <w:r w:rsidRPr="0052490F">
        <w:rPr>
          <w:lang/>
        </w:rPr>
        <w:t xml:space="preserve">. These rights continue to apply today, not only in England, but in each of the jurisdictions of the </w:t>
      </w:r>
      <w:hyperlink r:id="rId18" w:tooltip="Commonwealth realm" w:history="1">
        <w:r w:rsidRPr="0052490F">
          <w:rPr>
            <w:lang/>
          </w:rPr>
          <w:t>Commonwealth realms</w:t>
        </w:r>
      </w:hyperlink>
      <w:r w:rsidRPr="0052490F">
        <w:rPr>
          <w:lang/>
        </w:rPr>
        <w:t xml:space="preserve"> as well. The people, embodied in the </w:t>
      </w:r>
      <w:hyperlink r:id="rId19" w:tooltip="Parliament" w:history="1">
        <w:r w:rsidRPr="0052490F">
          <w:rPr>
            <w:lang/>
          </w:rPr>
          <w:t>parliament</w:t>
        </w:r>
      </w:hyperlink>
      <w:r w:rsidRPr="0052490F">
        <w:rPr>
          <w:lang/>
        </w:rPr>
        <w:t>, are granted immutable civil and political rights through the act, including:</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from royal interference with the law. Though the sovereign remains the fount of justice, he or she cannot unilaterally establish new courts or act as a judge. </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from </w:t>
      </w:r>
      <w:hyperlink r:id="rId20" w:tooltip="Taxation" w:history="1">
        <w:r w:rsidRPr="0052490F">
          <w:rPr>
            <w:lang/>
          </w:rPr>
          <w:t>taxation</w:t>
        </w:r>
      </w:hyperlink>
      <w:r w:rsidRPr="0052490F">
        <w:rPr>
          <w:lang/>
        </w:rPr>
        <w:t xml:space="preserve"> by </w:t>
      </w:r>
      <w:hyperlink r:id="rId21" w:tooltip="Royal Prerogative" w:history="1">
        <w:r w:rsidRPr="0052490F">
          <w:rPr>
            <w:lang/>
          </w:rPr>
          <w:t>Royal Prerogative</w:t>
        </w:r>
      </w:hyperlink>
      <w:r w:rsidRPr="0052490F">
        <w:rPr>
          <w:lang/>
        </w:rPr>
        <w:t xml:space="preserve">. The agreement of parliament became necessary for the implementation of any new taxes. </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to </w:t>
      </w:r>
      <w:hyperlink r:id="rId22" w:tooltip="Petition" w:history="1">
        <w:r w:rsidRPr="0052490F">
          <w:rPr>
            <w:lang/>
          </w:rPr>
          <w:t>petition</w:t>
        </w:r>
      </w:hyperlink>
      <w:r w:rsidRPr="0052490F">
        <w:rPr>
          <w:lang/>
        </w:rPr>
        <w:t xml:space="preserve"> the monarch. </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from the </w:t>
      </w:r>
      <w:hyperlink r:id="rId23" w:tooltip="Standing army" w:history="1">
        <w:r w:rsidRPr="0052490F">
          <w:rPr>
            <w:lang/>
          </w:rPr>
          <w:t>standing army</w:t>
        </w:r>
      </w:hyperlink>
      <w:r w:rsidRPr="0052490F">
        <w:rPr>
          <w:lang/>
        </w:rPr>
        <w:t xml:space="preserve"> during a time of peace. The agreement of parliament became necessary before the army could be moved against the populace when not at war. </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for </w:t>
      </w:r>
      <w:hyperlink r:id="rId24" w:tooltip="Protestantism" w:history="1">
        <w:r w:rsidRPr="0052490F">
          <w:rPr>
            <w:lang/>
          </w:rPr>
          <w:t>Protestants</w:t>
        </w:r>
      </w:hyperlink>
      <w:r w:rsidRPr="0052490F">
        <w:rPr>
          <w:lang/>
        </w:rPr>
        <w:t xml:space="preserve"> to bear arms for their own defense, as suitable to their class and as allowed by law. </w:t>
      </w:r>
    </w:p>
    <w:p w:rsidR="0052490F" w:rsidRPr="0052490F" w:rsidRDefault="0052490F" w:rsidP="0052490F">
      <w:pPr>
        <w:numPr>
          <w:ilvl w:val="0"/>
          <w:numId w:val="1"/>
        </w:numPr>
        <w:shd w:val="clear" w:color="auto" w:fill="F8FCFF"/>
        <w:spacing w:before="100" w:beforeAutospacing="1" w:after="100" w:afterAutospacing="1"/>
        <w:rPr>
          <w:lang/>
        </w:rPr>
      </w:pPr>
      <w:r w:rsidRPr="0052490F">
        <w:rPr>
          <w:lang/>
        </w:rPr>
        <w:t xml:space="preserve">Freedom to elect members of parliament without interference from the sovereign. </w:t>
      </w:r>
    </w:p>
    <w:p w:rsidR="000B1610" w:rsidRPr="0052490F" w:rsidRDefault="0052490F" w:rsidP="0052490F">
      <w:pPr>
        <w:numPr>
          <w:ilvl w:val="0"/>
          <w:numId w:val="1"/>
        </w:numPr>
        <w:shd w:val="clear" w:color="auto" w:fill="F8FCFF"/>
        <w:spacing w:before="100" w:beforeAutospacing="1" w:after="100" w:afterAutospacing="1"/>
      </w:pPr>
      <w:r w:rsidRPr="0052490F">
        <w:rPr>
          <w:lang/>
        </w:rPr>
        <w:t>Freedom of speech and debates; or proceedings in Parliament ought not to be impeached or questioned in any court or place out of Parliament.</w:t>
      </w:r>
      <w:r w:rsidRPr="0052490F">
        <w:t xml:space="preserve"> </w:t>
      </w:r>
    </w:p>
    <w:sectPr w:rsidR="000B1610" w:rsidRPr="0052490F" w:rsidSect="003D6E9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1E481C"/>
    <w:multiLevelType w:val="multilevel"/>
    <w:tmpl w:val="C63E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52490F"/>
    <w:rsid w:val="000B1610"/>
    <w:rsid w:val="00302397"/>
    <w:rsid w:val="003D6E93"/>
    <w:rsid w:val="0052490F"/>
    <w:rsid w:val="00B2668E"/>
    <w:rsid w:val="00EC0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paragraph" w:styleId="Heading2">
    <w:name w:val="heading 2"/>
    <w:basedOn w:val="Normal"/>
    <w:link w:val="Heading2Char"/>
    <w:uiPriority w:val="9"/>
    <w:qFormat/>
    <w:rsid w:val="0052490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90F"/>
    <w:rPr>
      <w:b/>
      <w:bCs/>
      <w:sz w:val="36"/>
      <w:szCs w:val="36"/>
    </w:rPr>
  </w:style>
  <w:style w:type="character" w:styleId="Hyperlink">
    <w:name w:val="Hyperlink"/>
    <w:basedOn w:val="DefaultParagraphFont"/>
    <w:uiPriority w:val="99"/>
    <w:semiHidden/>
    <w:unhideWhenUsed/>
    <w:rsid w:val="0052490F"/>
    <w:rPr>
      <w:color w:val="0000FF"/>
      <w:u w:val="single"/>
    </w:rPr>
  </w:style>
  <w:style w:type="paragraph" w:styleId="NormalWeb">
    <w:name w:val="Normal (Web)"/>
    <w:basedOn w:val="Normal"/>
    <w:uiPriority w:val="99"/>
    <w:semiHidden/>
    <w:unhideWhenUsed/>
    <w:rsid w:val="0052490F"/>
    <w:pPr>
      <w:spacing w:before="100" w:beforeAutospacing="1" w:after="100" w:afterAutospacing="1"/>
    </w:pPr>
  </w:style>
  <w:style w:type="character" w:customStyle="1" w:styleId="mw-headline">
    <w:name w:val="mw-headline"/>
    <w:basedOn w:val="DefaultParagraphFont"/>
    <w:rsid w:val="0052490F"/>
  </w:style>
</w:styles>
</file>

<file path=word/webSettings.xml><?xml version="1.0" encoding="utf-8"?>
<w:webSettings xmlns:r="http://schemas.openxmlformats.org/officeDocument/2006/relationships" xmlns:w="http://schemas.openxmlformats.org/wordprocessingml/2006/main">
  <w:divs>
    <w:div w:id="199322430">
      <w:bodyDiv w:val="1"/>
      <w:marLeft w:val="0"/>
      <w:marRight w:val="0"/>
      <w:marTop w:val="0"/>
      <w:marBottom w:val="0"/>
      <w:divBdr>
        <w:top w:val="none" w:sz="0" w:space="0" w:color="auto"/>
        <w:left w:val="none" w:sz="0" w:space="0" w:color="auto"/>
        <w:bottom w:val="none" w:sz="0" w:space="0" w:color="auto"/>
        <w:right w:val="none" w:sz="0" w:space="0" w:color="auto"/>
      </w:divBdr>
      <w:divsChild>
        <w:div w:id="563831972">
          <w:marLeft w:val="0"/>
          <w:marRight w:val="0"/>
          <w:marTop w:val="0"/>
          <w:marBottom w:val="0"/>
          <w:divBdr>
            <w:top w:val="none" w:sz="0" w:space="0" w:color="auto"/>
            <w:left w:val="none" w:sz="0" w:space="0" w:color="auto"/>
            <w:bottom w:val="none" w:sz="0" w:space="0" w:color="auto"/>
            <w:right w:val="none" w:sz="0" w:space="0" w:color="auto"/>
          </w:divBdr>
          <w:divsChild>
            <w:div w:id="1807893199">
              <w:marLeft w:val="0"/>
              <w:marRight w:val="0"/>
              <w:marTop w:val="0"/>
              <w:marBottom w:val="0"/>
              <w:divBdr>
                <w:top w:val="none" w:sz="0" w:space="0" w:color="auto"/>
                <w:left w:val="none" w:sz="0" w:space="0" w:color="auto"/>
                <w:bottom w:val="none" w:sz="0" w:space="0" w:color="auto"/>
                <w:right w:val="none" w:sz="0" w:space="0" w:color="auto"/>
              </w:divBdr>
              <w:divsChild>
                <w:div w:id="1261644382">
                  <w:marLeft w:val="0"/>
                  <w:marRight w:val="0"/>
                  <w:marTop w:val="0"/>
                  <w:marBottom w:val="0"/>
                  <w:divBdr>
                    <w:top w:val="none" w:sz="0" w:space="0" w:color="auto"/>
                    <w:left w:val="none" w:sz="0" w:space="0" w:color="auto"/>
                    <w:bottom w:val="none" w:sz="0" w:space="0" w:color="auto"/>
                    <w:right w:val="none" w:sz="0" w:space="0" w:color="auto"/>
                  </w:divBdr>
                  <w:divsChild>
                    <w:div w:id="28319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070552">
      <w:bodyDiv w:val="1"/>
      <w:marLeft w:val="0"/>
      <w:marRight w:val="0"/>
      <w:marTop w:val="0"/>
      <w:marBottom w:val="0"/>
      <w:divBdr>
        <w:top w:val="none" w:sz="0" w:space="0" w:color="auto"/>
        <w:left w:val="none" w:sz="0" w:space="0" w:color="auto"/>
        <w:bottom w:val="none" w:sz="0" w:space="0" w:color="auto"/>
        <w:right w:val="none" w:sz="0" w:space="0" w:color="auto"/>
      </w:divBdr>
      <w:divsChild>
        <w:div w:id="2057658343">
          <w:marLeft w:val="0"/>
          <w:marRight w:val="0"/>
          <w:marTop w:val="0"/>
          <w:marBottom w:val="0"/>
          <w:divBdr>
            <w:top w:val="none" w:sz="0" w:space="0" w:color="auto"/>
            <w:left w:val="none" w:sz="0" w:space="0" w:color="auto"/>
            <w:bottom w:val="none" w:sz="0" w:space="0" w:color="auto"/>
            <w:right w:val="none" w:sz="0" w:space="0" w:color="auto"/>
          </w:divBdr>
          <w:divsChild>
            <w:div w:id="901138807">
              <w:marLeft w:val="0"/>
              <w:marRight w:val="0"/>
              <w:marTop w:val="0"/>
              <w:marBottom w:val="0"/>
              <w:divBdr>
                <w:top w:val="none" w:sz="0" w:space="0" w:color="auto"/>
                <w:left w:val="none" w:sz="0" w:space="0" w:color="auto"/>
                <w:bottom w:val="none" w:sz="0" w:space="0" w:color="auto"/>
                <w:right w:val="none" w:sz="0" w:space="0" w:color="auto"/>
              </w:divBdr>
              <w:divsChild>
                <w:div w:id="1997997271">
                  <w:marLeft w:val="0"/>
                  <w:marRight w:val="0"/>
                  <w:marTop w:val="0"/>
                  <w:marBottom w:val="0"/>
                  <w:divBdr>
                    <w:top w:val="none" w:sz="0" w:space="0" w:color="auto"/>
                    <w:left w:val="none" w:sz="0" w:space="0" w:color="auto"/>
                    <w:bottom w:val="none" w:sz="0" w:space="0" w:color="auto"/>
                    <w:right w:val="none" w:sz="0" w:space="0" w:color="auto"/>
                  </w:divBdr>
                  <w:divsChild>
                    <w:div w:id="102008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637713">
      <w:bodyDiv w:val="1"/>
      <w:marLeft w:val="0"/>
      <w:marRight w:val="0"/>
      <w:marTop w:val="0"/>
      <w:marBottom w:val="0"/>
      <w:divBdr>
        <w:top w:val="none" w:sz="0" w:space="0" w:color="auto"/>
        <w:left w:val="none" w:sz="0" w:space="0" w:color="auto"/>
        <w:bottom w:val="none" w:sz="0" w:space="0" w:color="auto"/>
        <w:right w:val="none" w:sz="0" w:space="0" w:color="auto"/>
      </w:divBdr>
      <w:divsChild>
        <w:div w:id="1985544387">
          <w:marLeft w:val="0"/>
          <w:marRight w:val="0"/>
          <w:marTop w:val="0"/>
          <w:marBottom w:val="0"/>
          <w:divBdr>
            <w:top w:val="none" w:sz="0" w:space="0" w:color="auto"/>
            <w:left w:val="none" w:sz="0" w:space="0" w:color="auto"/>
            <w:bottom w:val="none" w:sz="0" w:space="0" w:color="auto"/>
            <w:right w:val="none" w:sz="0" w:space="0" w:color="auto"/>
          </w:divBdr>
          <w:divsChild>
            <w:div w:id="19669661">
              <w:marLeft w:val="0"/>
              <w:marRight w:val="0"/>
              <w:marTop w:val="0"/>
              <w:marBottom w:val="0"/>
              <w:divBdr>
                <w:top w:val="none" w:sz="0" w:space="0" w:color="auto"/>
                <w:left w:val="none" w:sz="0" w:space="0" w:color="auto"/>
                <w:bottom w:val="none" w:sz="0" w:space="0" w:color="auto"/>
                <w:right w:val="none" w:sz="0" w:space="0" w:color="auto"/>
              </w:divBdr>
              <w:divsChild>
                <w:div w:id="455105783">
                  <w:marLeft w:val="0"/>
                  <w:marRight w:val="0"/>
                  <w:marTop w:val="0"/>
                  <w:marBottom w:val="0"/>
                  <w:divBdr>
                    <w:top w:val="none" w:sz="0" w:space="0" w:color="auto"/>
                    <w:left w:val="none" w:sz="0" w:space="0" w:color="auto"/>
                    <w:bottom w:val="none" w:sz="0" w:space="0" w:color="auto"/>
                    <w:right w:val="none" w:sz="0" w:space="0" w:color="auto"/>
                  </w:divBdr>
                  <w:divsChild>
                    <w:div w:id="82878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rliament_of_England" TargetMode="External"/><Relationship Id="rId13" Type="http://schemas.openxmlformats.org/officeDocument/2006/relationships/hyperlink" Target="http://en.wikipedia.org/wiki/John_Hampden_(1653-1696)" TargetMode="External"/><Relationship Id="rId18" Type="http://schemas.openxmlformats.org/officeDocument/2006/relationships/hyperlink" Target="http://en.wikipedia.org/wiki/Commonwealth_real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Royal_Prerogative" TargetMode="External"/><Relationship Id="rId7" Type="http://schemas.openxmlformats.org/officeDocument/2006/relationships/hyperlink" Target="http://en.wikipedia.org/wiki/1688" TargetMode="External"/><Relationship Id="rId12" Type="http://schemas.openxmlformats.org/officeDocument/2006/relationships/hyperlink" Target="http://en.wikipedia.org/wiki/William_III_of_England" TargetMode="External"/><Relationship Id="rId17" Type="http://schemas.openxmlformats.org/officeDocument/2006/relationships/hyperlink" Target="http://en.wikipedia.org/wiki/Englan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tionary.org/wiki/Tenet" TargetMode="External"/><Relationship Id="rId20" Type="http://schemas.openxmlformats.org/officeDocument/2006/relationships/hyperlink" Target="http://en.wikipedia.org/wiki/Taxation" TargetMode="External"/><Relationship Id="rId1" Type="http://schemas.openxmlformats.org/officeDocument/2006/relationships/numbering" Target="numbering.xml"/><Relationship Id="rId6" Type="http://schemas.openxmlformats.org/officeDocument/2006/relationships/hyperlink" Target="http://en.wikipedia.org/wiki/James_II_of_England" TargetMode="External"/><Relationship Id="rId11" Type="http://schemas.openxmlformats.org/officeDocument/2006/relationships/hyperlink" Target="http://en.wikipedia.org/wiki/House_of_Orange-Nassau" TargetMode="External"/><Relationship Id="rId24" Type="http://schemas.openxmlformats.org/officeDocument/2006/relationships/hyperlink" Target="http://en.wikipedia.org/wiki/Protestantism" TargetMode="External"/><Relationship Id="rId5" Type="http://schemas.openxmlformats.org/officeDocument/2006/relationships/hyperlink" Target="http://en.wikipedia.org/wiki/British_monarchy" TargetMode="External"/><Relationship Id="rId15" Type="http://schemas.openxmlformats.org/officeDocument/2006/relationships/hyperlink" Target="http://en.wikipedia.org/wiki/Westminster_Parliament" TargetMode="External"/><Relationship Id="rId23" Type="http://schemas.openxmlformats.org/officeDocument/2006/relationships/hyperlink" Target="http://en.wikipedia.org/wiki/Standing_army" TargetMode="External"/><Relationship Id="rId10" Type="http://schemas.openxmlformats.org/officeDocument/2006/relationships/hyperlink" Target="http://en.wikipedia.org/wiki/Stadtholder" TargetMode="External"/><Relationship Id="rId19" Type="http://schemas.openxmlformats.org/officeDocument/2006/relationships/hyperlink" Target="http://en.wikipedia.org/wiki/Parliament" TargetMode="External"/><Relationship Id="rId4" Type="http://schemas.openxmlformats.org/officeDocument/2006/relationships/webSettings" Target="webSettings.xml"/><Relationship Id="rId9" Type="http://schemas.openxmlformats.org/officeDocument/2006/relationships/hyperlink" Target="http://en.wikipedia.org/wiki/Dutch_Republic" TargetMode="External"/><Relationship Id="rId14" Type="http://schemas.openxmlformats.org/officeDocument/2006/relationships/hyperlink" Target="http://en.wikipedia.org/wiki/Glorious_Revolution" TargetMode="External"/><Relationship Id="rId22" Type="http://schemas.openxmlformats.org/officeDocument/2006/relationships/hyperlink" Target="http://en.wikipedia.org/wiki/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503</Words>
  <Characters>4178</Characters>
  <Application>Microsoft Office Word</Application>
  <DocSecurity>0</DocSecurity>
  <Lines>34</Lines>
  <Paragraphs>9</Paragraphs>
  <ScaleCrop>false</ScaleCrop>
  <Company>York Country Day School</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2009-09-29T14:04:00Z</dcterms:created>
  <dcterms:modified xsi:type="dcterms:W3CDTF">2009-09-29T14:17:00Z</dcterms:modified>
</cp:coreProperties>
</file>